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pStyle w:val="a"/>
        <w:ind w:left="1043" w:hanging="1043"/>
        <w:rPr>
          <w:rFonts w:eastAsia="黑体" w:cs="Times New Roman" w:hint="default"/>
          <w:kern w:val="0"/>
          <w:lang w:val="en-US" w:eastAsia="zh-CN"/>
        </w:rPr>
      </w:pPr>
      <w:bookmarkStart w:id="0" w:name="_GoBack"/>
      <w:bookmarkEnd w:id="0"/>
      <w:r>
        <w:rPr>
          <w:rFonts w:cs="Times New Roman" w:hint="eastAsia"/>
          <w:kern w:val="0"/>
          <w:lang w:eastAsia="zh-CN"/>
        </w:rPr>
        <w:t>附件</w:t>
      </w:r>
      <w:r>
        <w:rPr>
          <w:rFonts w:cs="Times New Roman" w:hint="eastAsia"/>
          <w:kern w:val="0"/>
          <w:lang w:val="en-US" w:eastAsia="zh-CN"/>
        </w:rPr>
        <w:t>3</w:t>
      </w:r>
    </w:p>
    <w:tbl>
      <w:tblPr>
        <w:tblStyle w:val="TableNormal"/>
        <w:tblW w:w="14865" w:type="dxa"/>
        <w:tblInd w:w="8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46"/>
        <w:gridCol w:w="11121"/>
        <w:gridCol w:w="1478"/>
      </w:tblGrid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48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pStyle w:val="a"/>
              <w:ind w:left="1043" w:hanging="1043"/>
              <w:rPr>
                <w:rFonts w:cs="Times New Roman"/>
                <w:kern w:val="0"/>
              </w:rPr>
            </w:pP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148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pStyle w:val="Heading1"/>
              <w:rPr>
                <w:rFonts w:cs="Times New Roman"/>
                <w:kern w:val="0"/>
              </w:rPr>
            </w:pPr>
            <w:r>
              <w:rPr>
                <w:rFonts w:cs="Times New Roman" w:hint="eastAsia"/>
                <w:kern w:val="0"/>
              </w:rPr>
              <w:t>深圳市重点新材料首批次应用示范指导目录（2020年版）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</w:rPr>
              <w:t>产品名称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</w:rPr>
              <w:t>产品技术参数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</w:rPr>
              <w:t>应用领域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</w:trPr>
        <w:tc>
          <w:tcPr>
            <w:tcW w:w="14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一、新能源材料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Ni88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高镍单晶正极材料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放电容量≥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218mAh/g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0.2C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）；首次库伦效率≥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88%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；高温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45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℃的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1C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循环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1000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次容量保持率≥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80%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；极片压实密度≥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3.7g/cm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vertAlign w:val="superscript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；材料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pH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11.6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；残碱含量：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OH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vertAlign w:val="superscript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0.2wt%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CO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vertAlign w:val="subscript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vertAlign w:val="superscript"/>
              </w:rPr>
              <w:t>2-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0.2wt%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新能源汽车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高压实磷酸铁锂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压实密度≥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2.45g/cm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0.5C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全电放电克容量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145mAh/g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；常温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1C/1C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循环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6000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次容量保持率≥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60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7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天容量保持率≥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96%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60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500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天容量保持率≥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8C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放电容量保持率≥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96%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新能源汽车、储能电池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镍钴锰铝氢氧化物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/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动力电池正极材料用四元前驱体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振实密度：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1.5±0.5g/cm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；粒度：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3.0-18.0μm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；磁性异物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&lt;20 ppb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；比表面积：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5.0~30.0m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/g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；镍含量：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50~60wt%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，钴含量：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3~10wt%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，锰含量：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1.5~5wt%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，铝含量：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0.1~2wt%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；水分＜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0.5wt%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新能源汽车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超分散型碳纳米管导电剂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纯度≥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99%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；粉体电阻率≤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70mΩ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cm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；阵列长度≥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30μm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；应用于磷酸铁锂中，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2%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碳纳米管添加量体积电阻率＜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2Ω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cm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；管径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6-10nm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新能源汽车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锂离子电池用硅负极材料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）硅负极材料：容量：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650~1700mAh/g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；首效效率：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76~88%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）硅复合品：容量≥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400mAh/g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；首次效率≥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90%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；电池循环性能：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1200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次循环后容量保持率≥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0.5C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充电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/1.0C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放电，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RT 25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℃）。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新能源汽车、电子产品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天然石墨负极材料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首次容量≥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360 mAh/g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4000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次循环后容量保持率≥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％；低温性能：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-20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℃，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0.2C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放电至终止电压，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-20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/20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℃的放电时间比≥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95%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，压实密度≥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1.7 g/cm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新能源汽车、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3C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数码产品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人造石墨负极材料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比容量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355mAh/g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3000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次循环后容量保持率≥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％；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3C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下，容量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/1C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容量≥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95%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，压实密度≥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1.7 g/cm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新能源汽车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石墨烯包覆硅碳负极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首次可逆容量：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500mAh/g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；首次充电效率：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91.5%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；振实密度：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0.95~1.05g/cm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vertAlign w:val="superscript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；压实密度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1.50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0.05 g/cm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vertAlign w:val="superscript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；电池循环性能：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1000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次循环后容量保持率≥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80%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0.5C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充电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/1.0C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放电，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RT 25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℃）。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新能源汽车、储能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双电层电容器高温电解液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2.7V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℃浮充寿命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1000h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：判断标准容量保持率≥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70%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；等效直流内阻增长率≤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200%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，电导率（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℃）≥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5mS/cm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；粘度（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℃）≤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25mpa·s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新能源汽车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磷酸钛铝锂固态电解质材料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粉末产品：离子电导率≥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3.5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vertAlign w:val="superscript"/>
              </w:rPr>
              <w:t>-4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S/cm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，颗粒平均尺寸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D50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1μm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，残碱含量（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OH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vertAlign w:val="superscript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0.01%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CO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vertAlign w:val="subscript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vertAlign w:val="superscript"/>
              </w:rPr>
              <w:t>2-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0.01%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）；浆料产品：离子电导率≥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3.5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vertAlign w:val="superscript"/>
              </w:rPr>
              <w:t>-4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S/cm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，颗粒平均尺寸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D50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150nm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，浆料稳定性：静置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天无明显沉淀，固含量≥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10%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新能源汽车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高耐热轻量化复合隔膜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180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1h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纵向热收缩≤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5%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180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1h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横向热收缩≤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5%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；破膜温度≥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180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℃；面密度≤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8g/m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；基膜厚度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&lt;9μm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新能源汽车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</w:trPr>
        <w:tc>
          <w:tcPr>
            <w:tcW w:w="14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二、信息技术材料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</w:trPr>
        <w:tc>
          <w:tcPr>
            <w:tcW w:w="14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2.1 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新型显示材料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固定曲率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AMOLED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偏光片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透过率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(380nm)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；单体透过率≥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42.5%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；有效厚度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&lt;110μm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；反射率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(8°)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可由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&lt;6.0%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改为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&lt;5.5%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注：反射率测试方法：用分光测色计测量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8°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角下的全波段反射谱，用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CIE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标准计算。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新型显示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盲孔显示屏用开孔偏光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收缩率≤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0.3%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；单体透过率≥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42%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；耐高温性能：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℃，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240h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；耐高温高湿性能：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60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*90%RH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240h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；耐冷热冲击：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-40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~85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℃，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100 cycle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；收缩应力：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cell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弯曲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&lt;0.3mm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注：收缩率测试方法：将偏光裁切成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100mm×100mm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尺寸后，贴合在玻璃上，消泡（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*0.5MPa*20min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）后进行用三次元测量尺寸，之后投入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℃高温试验箱，经过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240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小时后，再次测量尺寸；计算两次测量的收缩率。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收缩应力测试方法：两片正交偏光片贴合在总厚度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0.3mm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左右，尺寸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6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吋左右的液晶显示面板两侧，消泡后常温放置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天，测量面板边缘翘起高度。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新型显示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micro-LED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用氟硅胶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硬度：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10-30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邵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；拉伸强度≥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2.0MPa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；伸长率≥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；粘接强度≥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0.3 MPa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；挥发物（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150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*3h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0.2%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新型显示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OLED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玻璃密封胶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激光烧结前的预烧结温度≤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380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℃；无机玻璃料在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800nm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波长的吸收率＞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95%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；无机玻璃料的热膨胀系数为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9.9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；激光烧结后拉力需≥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50N/mm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；激光烧结后，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90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℃水浴加热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24h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，玻璃胶损耗率＜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0.05wt%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新型显示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TFT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用正性光刻胶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分辨率≤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感度：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20 mJ/cm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~30mJ/cm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；含水量≤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0.5%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G4.5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尺寸玻璃涂布均一性＜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；单项痕量金属杂质≤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100ppb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；颗粒数量（＞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0.5μm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颗粒）＜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20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个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/ml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；不同批次感度误差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±5%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新型显示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光学胶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蓝光阻隔率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&gt;50%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；紫外光阻隔率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&gt;90%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；粘接强度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&gt;180N/25mm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；拉伸强度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&gt;8Mpa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；断裂延伸率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&gt;500%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新型显示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柔性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OLED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用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CPI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薄膜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薄膜厚度：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50μm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，公差≤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±5%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；透光率（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@550nm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）≥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89%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；黄度指数≤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2.0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；拉伸模量≥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6.0GPa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；耐弯折性≥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万次（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R=2mm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）；表面硬度≥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2H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；玻璃化转变温度＞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300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℃。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新型显示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柔性液晶隔热无级变光膜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柔性变光膜；柔性可弯曲，直接贴附于玻璃或玻璃夹胶；宽幅≤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；通过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500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万次开关测试；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年产品寿命；调光范围：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0.5%~45%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、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35%~70%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；无级调光；功耗：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50~100mW/m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；电压≤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10V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；紫外线阻隔率：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99.9%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；隔热率：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；响应速率≤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0.1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秒。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新型显示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电致变色膜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反射率变化时间（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50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％→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15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％，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25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℃）≤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 xml:space="preserve"> (DC1.2V)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；反射率变化时间（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15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％→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40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％，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25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℃）≤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16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秒（正负极短路放电）；运行耐久性检测：每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分钟给器件通电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30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短路放电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30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秒，工作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小时，休息两小时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镜片保持短路状态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)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，试验能正常工作，没有出现分相现象；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550nm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波段：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＜可见光透过率（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T%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）＜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75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％。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新型显示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半色调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HTM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）掩膜版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线长精度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CD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± 0.2μm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；范围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Range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：≤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0.2μm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；总长精度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Total Pitch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± 0.3μm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；半色调层透过率均匀性：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± 1.0%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；范围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Range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：≤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1.5%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新型显示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光掩膜板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外形尺寸：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800×960mm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；平整度≤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20μm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；最小线（缝）宽≥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1μm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；线长精度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CD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±0.1μm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新型显示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功率器件用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氮化镓外延片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4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英寸及以上氮化镓外延片方阻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&lt; 400 Ω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；二维电子气浓度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&gt; 8×10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-2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；翘曲＜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50μm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；迁移率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&gt; 1500cm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/vs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新型显示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</w:trPr>
        <w:tc>
          <w:tcPr>
            <w:tcW w:w="14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2.2 5G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通讯用材料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5G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用液晶高分子材料</w:t>
            </w:r>
          </w:p>
        </w:tc>
        <w:tc>
          <w:tcPr>
            <w:tcW w:w="111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介电常数≤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</w:t>
            </w:r>
            <w:r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；电损耗角正切≤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</w:t>
            </w:r>
            <w:r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；弯曲模量≥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4500MPa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；拉伸强度≥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70MPa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；悬臂梁缺口冲击≥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14kJ/m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；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注：介电常数、介电损耗角测试条件：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IPC-TM-650 2.5.5.13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；频率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1-14 GHz</w:t>
            </w:r>
            <w:r>
              <w:rPr>
                <w:rFonts w:ascii="宋体" w:eastAsia="宋体" w:hAnsi="宋体" w:cs="Times New Roman"/>
                <w:color w:val="000000"/>
                <w:kern w:val="0"/>
                <w:sz w:val="22"/>
              </w:rPr>
              <w:t>检测条件：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IPC-TM-650 2.5.5.5.1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5G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通讯、电子电器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适用于高频高速的改性低介电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PI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薄膜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在剥离强度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&gt;1Kgf/cm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的条件下（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Cu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表面粗糙度＜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100nm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）；热收缩率＜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0.1%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CTE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20ppm/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Dk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3.4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Df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0.005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；吸水率＜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0.5%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5G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通讯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5G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非金属天线振子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塑料天线振子金属镀层厚度≥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，采用化学镍打底厚度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；镀层粘附强度≥（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10±1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N/25mm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；驻波值：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1.2~1.5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；耐蚀性：经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24H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中性盐雾试验试样，表面不出现腐蚀迹象；电镀层可焊性能好；耐熔蚀性：在锡炉温度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280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±5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℃中浸泡后不会起泡；磁导率：电镀后电镀后的成品，表面测试相对磁导率，要求相对磁导率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μ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1.002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DK=4.0±0.15, DF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0.002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；阻燃性：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5VB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5G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通讯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5G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基站电磁屏蔽材料超软硅胶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体积电阻率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0.02Ω·cm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；屏蔽效能（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200MHz-20GHz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）＞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100dB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；硬度（邵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45±5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；延伸率：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203%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；撕裂延伸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1.14MPa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；撕裂强度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8.63N/cm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；硫化后比重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1.92g/cm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；硫化前比重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1.81g/cm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；粘接力（铝板）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21N/cm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；压缩变形：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25%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压缩：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14.9lb/in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40%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压缩：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39.8lb/in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；温度范围：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-50</w:t>
            </w:r>
            <w:r>
              <w:rPr>
                <w:rFonts w:ascii="Segoe UI Symbol" w:eastAsia="等线" w:hAnsi="Segoe UI Symbol" w:cs="Times New Roman"/>
                <w:color w:val="000000"/>
                <w:kern w:val="0"/>
                <w:sz w:val="20"/>
              </w:rPr>
              <w:t>℃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-150</w:t>
            </w:r>
            <w:r>
              <w:rPr>
                <w:rFonts w:ascii="Segoe UI Symbol" w:eastAsia="等线" w:hAnsi="Segoe UI Symbol" w:cs="Times New Roman"/>
                <w:color w:val="000000"/>
                <w:kern w:val="0"/>
                <w:sz w:val="20"/>
              </w:rPr>
              <w:t>℃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UL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等级：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UL94 V0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；硫化时间（硫化温度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125</w:t>
            </w:r>
            <w:r>
              <w:rPr>
                <w:rFonts w:ascii="Segoe UI Symbol" w:eastAsia="等线" w:hAnsi="Segoe UI Symbol" w:cs="Times New Roman"/>
                <w:color w:val="000000"/>
                <w:kern w:val="0"/>
                <w:sz w:val="20"/>
              </w:rPr>
              <w:t>℃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1.5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小时；厚度：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1~5mm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5G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通讯、计算机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导热垫片</w:t>
            </w:r>
          </w:p>
        </w:tc>
        <w:tc>
          <w:tcPr>
            <w:tcW w:w="111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硬度（邵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00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）：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；厚度：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0.5~2mm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；导热系数：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35W/(m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K)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；热阻（℃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in2/W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(2mm)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渗油率＜3%；耐温性：125℃；阻燃性：HB；击穿电压≥1.0kV/cm；环保：RoHS2.0+卤素+REACH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5G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通讯、电子产品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可定制介电工程塑料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介电常数：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2.1-10.0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，介电损耗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&lt;0.04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；拉伸强度：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40-140Mpa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；冲击强度：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30-150 J/m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；精度批次差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&lt;5%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G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通讯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</w:trPr>
        <w:tc>
          <w:tcPr>
            <w:tcW w:w="14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2.3 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芯片制造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半导体用大尺寸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高纯石英扩散管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外径：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300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～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400mm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；偏壁厚≤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0.6mm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；金属杂质含量＜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13ppm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；长期使用温度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1150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半导体、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集成电路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环保电沉积黄金材料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镀金层纯度≥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99.95%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；镀金层孔隙率≤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/cm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vertAlign w:val="superscript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1μm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镀层（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GB/T 12305.3-1990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）；分散能力≥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75%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JB/T 7704.4-1995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半导体、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集成电路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半导体装备用氧化铝陶瓷部件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密度≥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3.90g/cm³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；硬度（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HRA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90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；抗折强度≥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400MPa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Ra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0.6μm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半导体、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LED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/>
        </w:trPr>
        <w:tc>
          <w:tcPr>
            <w:tcW w:w="14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2.4 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三代半导体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铝基碳化硅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复合材料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导热系数室温≥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200W(m·k)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；抗弯折强度≥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300MPa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；热膨胀系数（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RT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～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200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℃）＜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9ppm/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半导体高功率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密度封装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氮化镓单晶衬底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英寸及以上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GaN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单晶衬底；位错密度＜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5×10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-2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；表面粗糙度＜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0.3nm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型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GaN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单晶衬底电阻率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&lt;0.05Ω·cm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；半绝缘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GaN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单晶衬底电阻率＞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Ω·cm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半导体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碳化硅衬底片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6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英寸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SiC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材料：单晶材料直径≥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6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英寸；衬底微管密度≤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个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/cm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型衬底电阻率≤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30mΩ·cm,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半绝缘衬底电阻率≥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1×10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Ω·cm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；衬底总腐蚀坑密度≤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5000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个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/cm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；衬底翘曲度（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Warp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45μm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；衬底弯曲度（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|bow|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25μm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；衬底总厚度变化（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TTV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15μm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；衬底局部厚度变化（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LTV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；衬底表面粗糙度≤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0.2nm(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测量面积：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10μm×10μm)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X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射线半峰宽≤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60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英寸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SiC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材料：单晶材料直径≥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英寸；衬底微管密度≤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个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/cm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n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型衬底电阻率≤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30mΩ·cm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，半绝缘衬底电阻率≥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1×10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Ω·cm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；衬底晶片翘曲度（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Warp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60μm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；衬底表面粗糙度≤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0.5nm(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测量面积：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10μm×10μm)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半导体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/>
        </w:trPr>
        <w:tc>
          <w:tcPr>
            <w:tcW w:w="14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2.5 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芯片封装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芯片级底部填充材料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满足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25mm*25mm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芯片；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凸块间距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150</w:t>
            </w:r>
            <w:r>
              <w:rPr>
                <w:rFonts w:ascii="Calibri" w:eastAsia="等线" w:hAnsi="Calibri" w:cs="Calibri"/>
                <w:color w:val="000000"/>
                <w:kern w:val="0"/>
                <w:sz w:val="20"/>
              </w:rPr>
              <w:t>μ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m；凸块高度为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80μ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m的情况；无流痕等缺陷；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封装大小＞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75*75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；芯片大小＞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25*25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的温循；高温存储；满足回流吸湿前处理等可靠性要求；无断裂、界面分层失效。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集成电路、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半导体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芯片级热界面材料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界面热阻低，可控的厚度＜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60</w:t>
            </w:r>
            <w:r>
              <w:rPr>
                <w:rFonts w:ascii="Calibri" w:eastAsia="等线" w:hAnsi="Calibri" w:cs="Calibri"/>
                <w:color w:val="000000"/>
                <w:kern w:val="0"/>
                <w:sz w:val="20"/>
              </w:rPr>
              <w:t>μ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m，界面热阻低于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0.05 K·cm²/W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在封装大小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＞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75*75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，芯片大小＞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25*25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上温循，高温存储，回流吸湿前处理等基本可靠性热性能无明显衰退，无泵出和干化等风险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集成电路、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半导体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光敏聚酰亚胺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满足可图案化、绝缘性、粘附性、低介电、低损耗、抗铜迁移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固化温度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&lt;300</w:t>
            </w:r>
            <w:r>
              <w:rPr>
                <w:rFonts w:ascii="Segoe UI Symbol" w:eastAsia="等线" w:hAnsi="Segoe UI Symbol" w:cs="Times New Roman"/>
                <w:color w:val="000000"/>
                <w:kern w:val="0"/>
                <w:sz w:val="20"/>
              </w:rPr>
              <w:t>℃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；曝光开口能力强；深孔比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&gt;1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；低吸水率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&lt;0.5%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；高延展率和界面粘接力（与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Si/Cu)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，在温循，高温存储，回流吸湿前处理等基本可靠性过程中无分层和断裂；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100GHz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介电常数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&lt;3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耗散因子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&lt;0.01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；击穿电压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&gt;250kV/mm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集成电路、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半导体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封装基板增层薄膜材料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低介电损耗，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Df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0.005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5.8GHz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）；低热膨胀系数（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CTE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），低于玻璃态温度点为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CTE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25ppm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，高于玻璃态温度点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CTE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70ppm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；与化镀铜有良好的界面粘接。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集成电路、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半导体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基板玻纤布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T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型玻纤）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用于高性能大尺寸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FCBGA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（倒装芯片球栅格阵列）的基板核心底层材料，热膨胀系数＜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3ppm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与树脂的粘接力好，最低玻纤直径为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4</w:t>
            </w:r>
            <w:r>
              <w:rPr>
                <w:rFonts w:ascii="Calibri" w:eastAsia="等线" w:hAnsi="Calibri" w:cs="Calibri"/>
                <w:color w:val="000000"/>
                <w:kern w:val="0"/>
                <w:sz w:val="20"/>
              </w:rPr>
              <w:t>μ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m，断裂延展率＞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集成电路、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半导体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活性金属钎焊覆铜陶瓷线路板（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AMB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剥离强度＞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10N/mm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；冷热循环能力（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TC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-55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~150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℃）≥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3000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次；导热系数≥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80W/(m·K)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抗弯强度≥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700Mpa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集成电路、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半导体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高取向高分子基碳纳米管复合材料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取向因子≥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50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；电导率≥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300S/cm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；机械强度≥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1.0GPA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；取向方向导热系数≥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10W/(m·K)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集成电路、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半导体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</w:trPr>
        <w:tc>
          <w:tcPr>
            <w:tcW w:w="14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2.6 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柔性线路板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超薄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Cu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箔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厚度＜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12</w:t>
            </w:r>
            <w:r>
              <w:rPr>
                <w:rFonts w:ascii="Calibri" w:eastAsia="等线" w:hAnsi="Calibri" w:cs="Calibri"/>
                <w:color w:val="000000"/>
                <w:kern w:val="0"/>
                <w:sz w:val="20"/>
              </w:rPr>
              <w:t>μ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m，用于基板的精细电路图案的制作，兼容高密工艺和树脂有良好的粘接，与载体箔的剥离性能佳。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集成电路、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半导体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/>
        </w:trPr>
        <w:tc>
          <w:tcPr>
            <w:tcW w:w="14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2.7 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印制电路板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基板绿油材料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基板表面的阻焊层，高密度加工能力；高玻璃态温度点；低热膨胀系数；高延展率；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良好的抗湿抗高压性能；和抗裂可靠性。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集成电路、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半导体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4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三、生物医用材料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中空纤维膜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氮气通量：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0.2-10ml/(cm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×min×bar)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；拉伸强度≥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60cN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；断裂伸长率≥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60%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；外爆破压力≥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2bar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；内爆破压力≥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3.5bar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医疗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双层人工真皮修复材料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下层孔隙率≥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70%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；上层水蒸气透过率≥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0.1mg/cm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/h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；重金属总含量≤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3μg/mL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；上层厚度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(0.25±0.15)mm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，下层厚度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(2±1)mm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；上层拉伸强度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&gt;2MPa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，撕裂强度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&gt;1N/mm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；下层降解残留率＞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75%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；交联剂残留量≤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1.5μg/mL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；细菌内毒素含量＜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20EU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医疗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含镁可降解高分子骨修复材料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产品同时具有宏观孔和微观孔；宏观孔径范围：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100μm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～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900μm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，微观孔径范围：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～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100μm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；块状、圆柱型产品的孔隙率应≥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45%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；块状、圆柱型产品的压缩强度应≥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2.0MPa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；生物安全性符合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GB16886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系列标准。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医疗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铁基可吸收药物洗脱冠脉支架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支架杆厚度＜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80μm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；渗氮铁管抗拉强度≥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700MPa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；径向强度≥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120kPa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；支架过扩极限：名义直径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+0.75mm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；支架扩张至标称直径对应的扩张压力时，最大最小的直径差值应≤标称直径的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；面积狭窄率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@28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天≤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个月降解速率≤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；腐蚀、释药相关的生物安全性符合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GB16886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系列标准。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医疗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可吸收药物洗脱外周支架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支架杆厚度＜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80μm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；渗氮铁管抗拉强度≥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700MPa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；径向强度≥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120kPa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；支架过扩极限：名义直径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+0.75mm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；支架扩张至标称直径对应的扩张压力时，最大最小的直径差值应≤标称直径的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；面积狭窄率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@28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天≤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个月降解速率≤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医疗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铁基可吸收支架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:2.25-4.0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规格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/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裸支架（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3.5-10.0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规格）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2.25-4.0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规格：支架杆厚度＜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80μm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；渗氮铁管抗拉强度≥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700MPa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；径向强度≥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120kPa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；支架过扩极限：名义直径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+0.75mm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；支架扩张至标称直径对应的扩张压力时，最大最小的直径差值应≤标称直径的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个月降解速率≤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3.5-10.0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规格：支架杆厚度＜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80μm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；渗氮铁管抗拉强度≥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700MPa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；径向强度≥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80kPa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；支架过扩极限：名义直径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+0.75mm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φ3.5-4.0mm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）；名义直径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+1.0mm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φ5.0-10.0mm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）；面积狭窄率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@28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天≤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个月降解速率≤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15%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医疗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14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四、前沿新材料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石墨烯涂层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涂层耐温性：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1600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℃；抗热震性：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1000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/25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次；高温熔盐腐蚀：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600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/2000h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；高温硫、氯气氛腐蚀：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600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/2000h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；高温粘附系数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&lt;10mg/cm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电力、石化、钢铁、建材、垃圾焚烧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石墨烯透明电热薄膜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总透光率≥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85%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（含两层石墨烯加基材）；雾度≤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4%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；四方向弯折≥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500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次，电阻变化≤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1.2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倍初始值；双层石墨烯面电阻≤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150Ω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；常规散热下，功率密度≥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1200W/m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智能穿戴产品、医疗器械、电子信息、汽车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石墨烯导热膜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导热系数：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1800W/(m·K)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；厚度：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25-500μm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；密度：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1.8-2.1 g/cm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，耐弯折次数：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100000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次；热扩散系数＞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900mm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/s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机械、电子、航空航天、医疗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高速轴承用特种润滑材料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工作锥入度（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0.1mm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280±15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；速度因子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1,000,000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；轴承寿命测试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600h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高铁、精密机床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碳纳米管薄膜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纯度＞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99.9%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；透光率：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78-90%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；高定向性：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Ra=100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；电阻均一性：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；耐弯折次数：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万次（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R=5 mm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，面电阻变化＜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）；单位面积热容：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7.7×10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-3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J/m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K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新型显示、集成电路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碳纳米管纤维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强度：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1000~2000 MPa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，模量：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120~200GPa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，电导率：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5×10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~9×10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S/m 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导电线芯、能源器件、传感探针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3D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打印用高性能金属粉体材料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）钛合金粉：氧含量≤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200ppm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；粉末粒度范围：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15μm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～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53μm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，粒形为球形，球形度≥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90%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；流动性≤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25s/50g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，松装比重≥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2.1g/cm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）不锈钢粉：化学成分符合不锈钢国标规范，氧含量≤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200ppm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；粉末粒度范围：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15μm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～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53μm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，粒形为球形，球形度≥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90%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；流动性≤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15s/50g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；松装比重＞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3.5g/cm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3D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打印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3D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打印聚乳酸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一般为透明或半通明颗粒，无异嗅，无异物；水分含量≤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0.05%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；密度：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1.25±0.05g/cm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；熔体质量流动速率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(MFR&lt;5)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±0.5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；熔体质量流动速率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MFR(5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≦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MFR&lt;10)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±2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；熔体质量流动速率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MFR(10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≦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MFR&lt;20)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±5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；熔体质量流动速率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MFR(&lt;20MFR)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 xml:space="preserve"> ±10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；熔点≥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125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Tg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℃；拉伸强度≥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45MPa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；缺口冲击强度≥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1kJ/m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；生物分解率≥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60%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；灼烧残渣≤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0.3%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；正已烷提取物≤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；挥发性物质含量≤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0.5%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；特性粘度偏差：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±0.02dL/g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；重均分子量偏差：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±20%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3D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打印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/>
        </w:trPr>
        <w:tc>
          <w:tcPr>
            <w:tcW w:w="14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  <w:t>五、其他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网状高分子材料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表观密度：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15.0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20.0kg/m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vertAlign w:val="superscript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；燃油置换率≤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2.0%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；燃爆增压值≤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0.064 Mpa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；压缩永久变形率≤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45%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汽车、油站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高弹性氟硅橡胶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硬度：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50-70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A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；拉伸强度≥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9.0MPa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；伸长率≥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250%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；回弹≥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24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；压缩永久形变≤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 xml:space="preserve">15%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航空电子器件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室温硫化氟硅橡胶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硬度：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30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～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50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邵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；拉伸强度≥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2MPa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；撕裂强度≥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10kN/m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；断裂伸长率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(%)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200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～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400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；密度：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1.40±0.05g/cm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vertAlign w:val="superscript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航空航天、汽车、电子器件</w:t>
            </w:r>
          </w:p>
        </w:tc>
      </w:tr>
      <w:tr>
        <w:tblPrEx>
          <w:tblW w:w="14865" w:type="dxa"/>
          <w:tblInd w:w="8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防污耐指纹表面处理剂</w:t>
            </w:r>
          </w:p>
        </w:tc>
        <w:tc>
          <w:tcPr>
            <w:tcW w:w="1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水接触角（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WCA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&gt;115°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；动摩擦系数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&lt;0.03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；指纹擦拭后水接触角（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WCA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&gt;110°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；钢丝绒耐磨测试：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10000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次，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  <w:t>&gt;105°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eastAsia="等线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</w:rPr>
              <w:t>汽车、光学镜头</w:t>
            </w:r>
          </w:p>
        </w:tc>
      </w:tr>
    </w:tbl>
    <w:p/>
    <w:sectPr>
      <w:headerReference w:type="even" r:id="rId5"/>
      <w:headerReference w:type="default" r:id="rId6"/>
      <w:headerReference w:type="first" r:id="rId7"/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o:spid="_x0000_s2053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63360" coordsize="21600,21600" filled="t" fillcolor="#e3e4e6" stroked="t" strokecolor="#f4f5f6">
          <v:textpath style="font-family:'宋体';font-size:36pt;v-text-align:center" trim="f" fitpath="t" xscale="f" string="深圳市工业和信息化局 吴可扬（非）&#10;2021-08-05 10:14:38"/>
        </v:shape>
      </w:pict>
    </w:r>
  </w:p>
  <w:p>
    <w:r>
      <w:pict>
        <v:shape id="_x0000_s2054" type="#_x0000_t136" style="width:280pt;height:44pt;margin-top:0;margin-left:0;mso-position-horizontal:center;mso-position-horizontal-relative:page;mso-position-vertical:center;mso-position-vertical-relative:page;position:absolute;rotation:-45;z-index:251661312" fillcolor="#e3e4e6" strokecolor="#f4f5f6">
          <v:textpath style="font-family:'宋体'" string="深圳市工业和信息化局 夏良庆（非）&#10;2021-08-05 10:25:19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o:spid="_x0000_s2051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59264" coordsize="21600,21600" filled="t" fillcolor="#e3e4e6" stroked="t" strokecolor="#f4f5f6">
          <v:textpath style="font-family:'宋体';font-size:36pt;v-text-align:center" trim="f" fitpath="t" xscale="f" string="深圳市工业和信息化局 吴可扬（非）&#10;2021-08-05 10:14:38"/>
        </v:shape>
      </w:pict>
    </w:r>
  </w:p>
  <w:p>
    <w:r>
      <w:pict>
        <v:shape id="_x0000_s2052" type="#_x0000_t136" style="width:280pt;height:44pt;margin-top:0;margin-left:0;mso-position-horizontal:center;mso-position-horizontal-relative:page;mso-position-vertical:center;mso-position-vertical-relative:page;position:absolute;rotation:-45;z-index:251660288" fillcolor="#e3e4e6" strokecolor="#f4f5f6">
          <v:textpath style="font-family:'宋体'" string="深圳市工业和信息化局 夏良庆（非）&#10;2021-08-05 10:25:19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o:spid="_x0000_s2049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62336" coordsize="21600,21600" filled="t" fillcolor="#e3e4e6" stroked="t" strokecolor="#f4f5f6">
          <v:textpath style="font-family:'宋体';font-size:36pt;v-text-align:center" trim="f" fitpath="t" xscale="f" string="深圳市工业和信息化局 吴可扬（非）&#10;2021-08-05 10:14:38"/>
        </v:shape>
      </w:pict>
    </w:r>
  </w:p>
  <w:p>
    <w:r>
      <w:pict>
        <v:shape id="_x0000_s2050" type="#_x0000_t136" style="width:280pt;height:44pt;margin-top:0;margin-left:0;mso-position-horizontal:center;mso-position-horizontal-relative:page;mso-position-vertical:center;mso-position-vertical-relative:page;position:absolute;rotation:-45;z-index:251658240" fillcolor="#e3e4e6" strokecolor="#f4f5f6">
          <v:textpath style="font-family:'宋体'" string="深圳市工业和信息化局 夏良庆（非）&#10;2021-08-05 10:25:19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line="540" w:lineRule="exact"/>
      <w:ind w:firstLine="622" w:firstLineChars="200"/>
      <w:jc w:val="both"/>
    </w:pPr>
    <w:rPr>
      <w:rFonts w:ascii="Times New Roman" w:eastAsia="仿宋_GB2312" w:hAnsi="Times New Roman" w:cs="Times New Roman"/>
      <w:kern w:val="2"/>
      <w:sz w:val="32"/>
      <w:lang w:val="en-US" w:eastAsia="zh-CN" w:bidi="ar-SA"/>
    </w:rPr>
  </w:style>
  <w:style w:type="paragraph" w:styleId="Heading1">
    <w:name w:val="heading 1"/>
    <w:next w:val="Normal"/>
    <w:qFormat/>
    <w:pPr>
      <w:widowControl/>
      <w:spacing w:line="560" w:lineRule="exact"/>
      <w:ind w:firstLine="0" w:firstLineChars="0"/>
      <w:jc w:val="center"/>
      <w:outlineLvl w:val="0"/>
    </w:pPr>
    <w:rPr>
      <w:rFonts w:ascii="方正小标宋简体" w:eastAsia="方正小标宋简体" w:hAnsi="方正小标宋简体" w:cs="Times New Roman"/>
      <w:kern w:val="44"/>
      <w:sz w:val="44"/>
      <w:szCs w:val="3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qFormat/>
    <w:pPr>
      <w:widowControl w:val="0"/>
      <w:tabs>
        <w:tab w:val="center" w:pos="4153"/>
        <w:tab w:val="right" w:pos="8306"/>
      </w:tabs>
      <w:snapToGrid w:val="0"/>
      <w:spacing w:line="540" w:lineRule="exact"/>
      <w:ind w:firstLine="622" w:firstLineChars="200"/>
      <w:jc w:val="left"/>
    </w:pPr>
    <w:rPr>
      <w:rFonts w:ascii="Times New Roman" w:eastAsia="仿宋_GB2312" w:hAnsi="Times New Roman" w:cs="Times New Roman"/>
      <w:kern w:val="2"/>
      <w:sz w:val="18"/>
      <w:lang w:val="en-US" w:eastAsia="zh-CN" w:bidi="ar-SA"/>
    </w:rPr>
  </w:style>
  <w:style w:type="paragraph" w:styleId="Header">
    <w:name w:val="header"/>
    <w:qFormat/>
    <w:pPr>
      <w:widowControl w:val="0"/>
      <w:tabs>
        <w:tab w:val="center" w:pos="4153"/>
        <w:tab w:val="right" w:pos="8306"/>
      </w:tabs>
      <w:snapToGrid w:val="0"/>
      <w:spacing w:line="540" w:lineRule="exact"/>
      <w:ind w:firstLine="622" w:firstLineChars="200"/>
      <w:jc w:val="center"/>
    </w:pPr>
    <w:rPr>
      <w:rFonts w:ascii="Times New Roman" w:eastAsia="仿宋_GB2312" w:hAnsi="Times New Roman" w:cs="Times New Roman"/>
      <w:kern w:val="2"/>
      <w:sz w:val="18"/>
      <w:lang w:val="en-US" w:eastAsia="zh-CN" w:bidi="ar-SA"/>
    </w:rPr>
  </w:style>
  <w:style w:type="paragraph" w:customStyle="1" w:styleId="a">
    <w:name w:val="黑体"/>
    <w:uiPriority w:val="3"/>
    <w:qFormat/>
    <w:pPr>
      <w:widowControl w:val="0"/>
      <w:spacing w:line="540" w:lineRule="exact"/>
      <w:ind w:left="1014" w:hanging="1014" w:hangingChars="326"/>
      <w:jc w:val="both"/>
    </w:pPr>
    <w:rPr>
      <w:rFonts w:ascii="黑体" w:eastAsia="黑体" w:hAnsi="黑体" w:cs="Times New Roman"/>
      <w:kern w:val="2"/>
      <w:sz w:val="32"/>
      <w:szCs w:val="3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</dc:creator>
  <cp:lastModifiedBy>可扬</cp:lastModifiedBy>
  <cp:revision>1</cp:revision>
  <cp:lastPrinted>2021-08-05T02:18:44Z</cp:lastPrinted>
  <dcterms:created xsi:type="dcterms:W3CDTF">2021-08-03T03:23:00Z</dcterms:created>
  <dcterms:modified xsi:type="dcterms:W3CDTF">2021-08-05T02:19:25Z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23FB8CB5EEDF44079BB4B0945F5CBADC</vt:lpwstr>
  </property>
  <property fmtid="{D5CDD505-2E9C-101B-9397-08002B2CF9AE}" pid="3" name="KSOProductBuildVer">
    <vt:lpwstr>2052-11.1.0.10667</vt:lpwstr>
  </property>
</Properties>
</file>