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ascii="方正小标宋简体" w:hAnsi="仿宋" w:eastAsia="方正小标宋简体"/>
          <w:sz w:val="36"/>
          <w:szCs w:val="36"/>
        </w:rPr>
        <w:t>2020年度厦门市中小企业公共服务平台网络运营评价指标</w:t>
      </w:r>
      <w:r>
        <w:rPr>
          <w:rFonts w:hint="eastAsia" w:ascii="方正小标宋简体" w:hAnsi="仿宋" w:eastAsia="方正小标宋简体"/>
          <w:sz w:val="36"/>
          <w:szCs w:val="36"/>
        </w:rPr>
        <w:t>（示范基地）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widowControl/>
        <w:ind w:firstLine="643" w:firstLineChars="200"/>
        <w:jc w:val="left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评价指标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（一）服务能力（40分）。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1</w:t>
      </w:r>
      <w:r>
        <w:rPr>
          <w:rFonts w:hint="eastAsia" w:ascii="方正仿宋" w:hAnsi="方正仿宋" w:eastAsia="方正仿宋" w:cs="方正仿宋"/>
          <w:sz w:val="32"/>
          <w:szCs w:val="32"/>
          <w:lang w:eastAsia="zh-CN"/>
        </w:rPr>
        <w:t>.</w:t>
      </w:r>
      <w:r>
        <w:rPr>
          <w:rFonts w:hint="eastAsia" w:ascii="方正仿宋" w:hAnsi="方正仿宋" w:eastAsia="方正仿宋" w:cs="方正仿宋"/>
          <w:sz w:val="32"/>
          <w:szCs w:val="32"/>
        </w:rPr>
        <w:t>信息服务（10分）。服务入驻企业达到20家次且开展的相关服务活动达到2次的得6分；服务企业数量增加10家次或开展活动增加1场加1分，最高加4分。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2.</w:t>
      </w:r>
      <w:r>
        <w:rPr>
          <w:rFonts w:hint="eastAsia" w:ascii="方正仿宋" w:hAnsi="方正仿宋" w:eastAsia="方正仿宋" w:cs="方正仿宋"/>
          <w:sz w:val="32"/>
          <w:szCs w:val="32"/>
        </w:rPr>
        <w:t>创业辅导（10分）。年服务企业20家次得6分；服务企业数量增加10家次加1分，最高加4分。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3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.</w:t>
      </w:r>
      <w:r>
        <w:rPr>
          <w:rFonts w:hint="eastAsia" w:ascii="方正仿宋" w:hAnsi="方正仿宋" w:eastAsia="方正仿宋" w:cs="方正仿宋"/>
          <w:sz w:val="32"/>
          <w:szCs w:val="32"/>
        </w:rPr>
        <w:t>创新支持（10分）。年组织技术洽谈会或技术对接会2次得6分；组织技术洽谈会或技术对接会活动增加1场加2分，最高加4分。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4</w:t>
      </w:r>
      <w:r>
        <w:rPr>
          <w:rFonts w:hint="eastAsia" w:ascii="方正仿宋" w:hAnsi="方正仿宋" w:eastAsia="方正仿宋" w:cs="方正仿宋"/>
          <w:sz w:val="32"/>
          <w:szCs w:val="32"/>
          <w:lang w:eastAsia="zh-CN"/>
        </w:rPr>
        <w:t>.</w:t>
      </w:r>
      <w:r>
        <w:rPr>
          <w:rFonts w:hint="eastAsia" w:ascii="方正仿宋" w:hAnsi="方正仿宋" w:eastAsia="方正仿宋" w:cs="方正仿宋"/>
          <w:sz w:val="32"/>
          <w:szCs w:val="32"/>
        </w:rPr>
        <w:t>人员培训（10分）。年培训100人次以上得6分，培训人数每增加50人加1分，最高加4分。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5.</w:t>
      </w:r>
      <w:r>
        <w:rPr>
          <w:rFonts w:hint="eastAsia" w:ascii="方正仿宋" w:hAnsi="方正仿宋" w:eastAsia="方正仿宋" w:cs="方正仿宋"/>
          <w:sz w:val="32"/>
          <w:szCs w:val="32"/>
        </w:rPr>
        <w:t>市场营销（10分）。组织企业参加各类展览展销、贸易洽谈、产品推介与合作等活动，每次3分，最高6分；组织入驻企业与行业龙头企业的产品对接、合作交流等活动，每次2分，最高4分。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6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.</w:t>
      </w:r>
      <w:r>
        <w:rPr>
          <w:rFonts w:hint="eastAsia" w:ascii="方正仿宋" w:hAnsi="方正仿宋" w:eastAsia="方正仿宋" w:cs="方正仿宋"/>
          <w:sz w:val="32"/>
          <w:szCs w:val="32"/>
        </w:rPr>
        <w:t>投融资服务（10分）。年服务企业15家次或组织融资对接会2场得6分；服务企业增加10家次或组织融资对接会增加1场得1分，最高不超过4分。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7</w:t>
      </w:r>
      <w:r>
        <w:rPr>
          <w:rFonts w:hint="eastAsia" w:ascii="方正仿宋" w:hAnsi="方正仿宋" w:eastAsia="方正仿宋" w:cs="方正仿宋"/>
          <w:sz w:val="32"/>
          <w:szCs w:val="32"/>
          <w:lang w:eastAsia="zh-CN"/>
        </w:rPr>
        <w:t>.</w:t>
      </w:r>
      <w:r>
        <w:rPr>
          <w:rFonts w:hint="eastAsia" w:ascii="方正仿宋" w:hAnsi="方正仿宋" w:eastAsia="方正仿宋" w:cs="方正仿宋"/>
          <w:sz w:val="32"/>
          <w:szCs w:val="32"/>
        </w:rPr>
        <w:t>管理咨询（10分）。年服务企业15家次以上得6分。服务企业数每增加5家加2分，最高加4分。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8.</w:t>
      </w:r>
      <w:r>
        <w:rPr>
          <w:rFonts w:hint="eastAsia" w:ascii="方正仿宋" w:hAnsi="方正仿宋" w:eastAsia="方正仿宋" w:cs="方正仿宋"/>
          <w:sz w:val="32"/>
          <w:szCs w:val="32"/>
        </w:rPr>
        <w:t>专业服务（10分）。年服务企业15家次以上得6分。服务企业数每增加5家加2分，最高加4分。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以上八大项服务功能及具体加分项中，分别取得分最高的前四个功能进行分数加总，数据来源以慧企云培训平台活动及服务大数据平台服务记录为主，允许基地补充系统记录的现场活动以外的资料。（注：所有活动必须为免费服务场次，收费活动不计入分数体系）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（二）运营效果（25分）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1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.</w:t>
      </w:r>
      <w:r>
        <w:rPr>
          <w:rFonts w:hint="eastAsia" w:ascii="方正仿宋" w:hAnsi="方正仿宋" w:eastAsia="方正仿宋" w:cs="方正仿宋"/>
          <w:sz w:val="32"/>
          <w:szCs w:val="32"/>
        </w:rPr>
        <w:t>年底入驻企业数较年初入驻企业数增加3家得1分，最高得10分。（需剔除已搬迁的企业数，考核净增加家数，机构提供入驻企业名单，电话核实）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2</w:t>
      </w:r>
      <w:r>
        <w:rPr>
          <w:rFonts w:hint="eastAsia" w:ascii="方正仿宋" w:hAnsi="方正仿宋" w:eastAsia="方正仿宋" w:cs="方正仿宋"/>
          <w:sz w:val="32"/>
          <w:szCs w:val="32"/>
          <w:lang w:eastAsia="zh-CN"/>
        </w:rPr>
        <w:t>.</w:t>
      </w:r>
      <w:r>
        <w:rPr>
          <w:rFonts w:hint="eastAsia" w:ascii="方正仿宋" w:hAnsi="方正仿宋" w:eastAsia="方正仿宋" w:cs="方正仿宋"/>
          <w:sz w:val="32"/>
          <w:szCs w:val="32"/>
        </w:rPr>
        <w:t>企业满意度（10分）。基数为80%，基础分为6分，满意度低于80%不得分。用户满意度比上一年度降低5个百分点，扣1分，最低得0分；每增加5个百分点得1分，最高得分不超过4分。（电话访问）</w:t>
      </w:r>
    </w:p>
    <w:p>
      <w:pPr>
        <w:snapToGrid w:val="0"/>
        <w:spacing w:line="540" w:lineRule="exact"/>
        <w:ind w:firstLine="640" w:firstLineChars="200"/>
        <w:rPr>
          <w:rFonts w:hint="eastAsia" w:ascii="方正仿宋" w:hAnsi="方正仿宋" w:eastAsia="方正仿宋" w:cs="方正仿宋"/>
          <w:color w:val="FF0000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3.</w:t>
      </w:r>
      <w:r>
        <w:rPr>
          <w:rFonts w:hint="eastAsia" w:ascii="方正仿宋" w:hAnsi="方正仿宋" w:eastAsia="方正仿宋" w:cs="方正仿宋"/>
          <w:sz w:val="32"/>
          <w:szCs w:val="32"/>
        </w:rPr>
        <w:t>营业收入（5分）。</w:t>
      </w:r>
      <w:r>
        <w:rPr>
          <w:rFonts w:hint="eastAsia" w:ascii="方正仿宋" w:hAnsi="方正仿宋" w:eastAsia="方正仿宋" w:cs="方正仿宋"/>
          <w:color w:val="FF0000"/>
          <w:sz w:val="32"/>
          <w:szCs w:val="32"/>
          <w:highlight w:val="yellow"/>
        </w:rPr>
        <w:t>营业收入比上年增长10%及以上得5分，小于10%大于或等于5%得4分，大于0小于5%得2分，增长为负数的不得分。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（三）协同服务（35分）。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1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.</w:t>
      </w:r>
      <w:r>
        <w:rPr>
          <w:rFonts w:hint="eastAsia" w:ascii="方正仿宋" w:hAnsi="方正仿宋" w:eastAsia="方正仿宋" w:cs="方正仿宋"/>
          <w:sz w:val="32"/>
          <w:szCs w:val="32"/>
        </w:rPr>
        <w:t>服务月、双创周活动（10分）。实际参与并举办服务月、小微企业双创活动周活动：50人（含）以下场次每场3分；50人以上每场5分，最高10分。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2</w:t>
      </w:r>
      <w:r>
        <w:rPr>
          <w:rFonts w:hint="eastAsia" w:ascii="方正仿宋" w:hAnsi="方正仿宋" w:eastAsia="方正仿宋" w:cs="方正仿宋"/>
          <w:sz w:val="32"/>
          <w:szCs w:val="32"/>
          <w:lang w:eastAsia="zh-CN"/>
        </w:rPr>
        <w:t>.</w:t>
      </w:r>
      <w:r>
        <w:rPr>
          <w:rFonts w:hint="eastAsia" w:ascii="方正仿宋" w:hAnsi="方正仿宋" w:eastAsia="方正仿宋" w:cs="方正仿宋"/>
          <w:sz w:val="32"/>
          <w:szCs w:val="32"/>
        </w:rPr>
        <w:t>枢纽平台协同发展（10分）。积极参与枢纽平台组织的线下服务提升活动每场得5分，最高10分。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3.</w:t>
      </w:r>
      <w:r>
        <w:rPr>
          <w:rFonts w:hint="eastAsia" w:ascii="方正仿宋" w:hAnsi="方正仿宋" w:eastAsia="方正仿宋" w:cs="方正仿宋"/>
          <w:sz w:val="32"/>
          <w:szCs w:val="32"/>
        </w:rPr>
        <w:t>线上服务日志填报（10分）。每月15日前完成上月服务数据及报表填报得6分；未及时完成的，一个月扣0.5分。积极通过"慧企云"平台开展服务对接，通过培训平台开展培训活动、使用二维码签到（非补录），每场加1分，最高不超过4分。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4</w:t>
      </w:r>
      <w:r>
        <w:rPr>
          <w:rFonts w:hint="eastAsia" w:ascii="方正仿宋" w:hAnsi="方正仿宋" w:eastAsia="方正仿宋" w:cs="方正仿宋"/>
          <w:sz w:val="32"/>
          <w:szCs w:val="32"/>
          <w:lang w:eastAsia="zh-CN"/>
        </w:rPr>
        <w:t>.</w:t>
      </w:r>
      <w:r>
        <w:rPr>
          <w:rFonts w:hint="eastAsia" w:ascii="方正仿宋" w:hAnsi="方正仿宋" w:eastAsia="方正仿宋" w:cs="方正仿宋"/>
          <w:sz w:val="32"/>
          <w:szCs w:val="32"/>
        </w:rPr>
        <w:t>其他协同活动开展服务情况（5分）。服务补贴券、志愿活动等协同活动开展服务情况。</w:t>
      </w:r>
    </w:p>
    <w:p>
      <w:pPr>
        <w:widowControl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二、评价结果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ascii="方正仿宋" w:hAnsi="方正仿宋" w:eastAsia="方正仿宋" w:cs="方正仿宋"/>
          <w:sz w:val="32"/>
          <w:szCs w:val="32"/>
        </w:rPr>
        <w:t>分为优秀</w:t>
      </w:r>
      <w:r>
        <w:rPr>
          <w:rFonts w:hint="eastAsia" w:ascii="方正仿宋" w:hAnsi="方正仿宋" w:eastAsia="方正仿宋" w:cs="方正仿宋"/>
          <w:sz w:val="32"/>
          <w:szCs w:val="32"/>
        </w:rPr>
        <w:t>、</w:t>
      </w:r>
      <w:r>
        <w:rPr>
          <w:rFonts w:ascii="方正仿宋" w:hAnsi="方正仿宋" w:eastAsia="方正仿宋" w:cs="方正仿宋"/>
          <w:sz w:val="32"/>
          <w:szCs w:val="32"/>
        </w:rPr>
        <w:t>良好</w:t>
      </w:r>
      <w:r>
        <w:rPr>
          <w:rFonts w:hint="eastAsia" w:ascii="方正仿宋" w:hAnsi="方正仿宋" w:eastAsia="方正仿宋" w:cs="方正仿宋"/>
          <w:sz w:val="32"/>
          <w:szCs w:val="32"/>
        </w:rPr>
        <w:t>、</w:t>
      </w:r>
      <w:r>
        <w:rPr>
          <w:rFonts w:ascii="方正仿宋" w:hAnsi="方正仿宋" w:eastAsia="方正仿宋" w:cs="方正仿宋"/>
          <w:sz w:val="32"/>
          <w:szCs w:val="32"/>
        </w:rPr>
        <w:t>合格和不合格</w:t>
      </w:r>
      <w:r>
        <w:rPr>
          <w:rFonts w:hint="eastAsia" w:ascii="方正仿宋" w:hAnsi="方正仿宋" w:eastAsia="方正仿宋" w:cs="方正仿宋"/>
          <w:sz w:val="32"/>
          <w:szCs w:val="32"/>
        </w:rPr>
        <w:t>：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（一）8</w:t>
      </w:r>
      <w:r>
        <w:rPr>
          <w:rFonts w:ascii="方正仿宋" w:hAnsi="方正仿宋" w:eastAsia="方正仿宋" w:cs="方正仿宋"/>
          <w:sz w:val="32"/>
          <w:szCs w:val="32"/>
        </w:rPr>
        <w:t>0</w:t>
      </w:r>
      <w:r>
        <w:rPr>
          <w:rFonts w:hint="eastAsia" w:ascii="方正仿宋" w:hAnsi="方正仿宋" w:eastAsia="方正仿宋" w:cs="方正仿宋"/>
          <w:sz w:val="32"/>
          <w:szCs w:val="32"/>
        </w:rPr>
        <w:t>分（含）以上且排名位列参评基地前3</w:t>
      </w:r>
      <w:r>
        <w:rPr>
          <w:rFonts w:ascii="方正仿宋" w:hAnsi="方正仿宋" w:eastAsia="方正仿宋" w:cs="方正仿宋"/>
          <w:sz w:val="32"/>
          <w:szCs w:val="32"/>
        </w:rPr>
        <w:t>0</w:t>
      </w:r>
      <w:r>
        <w:rPr>
          <w:rFonts w:hint="eastAsia" w:ascii="方正仿宋" w:hAnsi="方正仿宋" w:eastAsia="方正仿宋" w:cs="方正仿宋"/>
          <w:sz w:val="32"/>
          <w:szCs w:val="32"/>
        </w:rPr>
        <w:t>%的（四舍五入），</w:t>
      </w:r>
      <w:r>
        <w:rPr>
          <w:rFonts w:ascii="方正仿宋" w:hAnsi="方正仿宋" w:eastAsia="方正仿宋" w:cs="方正仿宋"/>
          <w:sz w:val="32"/>
          <w:szCs w:val="32"/>
        </w:rPr>
        <w:t>优秀</w:t>
      </w:r>
      <w:r>
        <w:rPr>
          <w:rFonts w:hint="eastAsia" w:ascii="方正仿宋" w:hAnsi="方正仿宋" w:eastAsia="方正仿宋" w:cs="方正仿宋"/>
          <w:sz w:val="32"/>
          <w:szCs w:val="32"/>
        </w:rPr>
        <w:t>；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（二）7</w:t>
      </w:r>
      <w:r>
        <w:rPr>
          <w:rFonts w:ascii="方正仿宋" w:hAnsi="方正仿宋" w:eastAsia="方正仿宋" w:cs="方正仿宋"/>
          <w:sz w:val="32"/>
          <w:szCs w:val="32"/>
        </w:rPr>
        <w:t>0分</w:t>
      </w:r>
      <w:r>
        <w:rPr>
          <w:rFonts w:hint="eastAsia" w:ascii="方正仿宋" w:hAnsi="方正仿宋" w:eastAsia="方正仿宋" w:cs="方正仿宋"/>
          <w:sz w:val="32"/>
          <w:szCs w:val="32"/>
        </w:rPr>
        <w:t>（含）以上且排名位列参评基地前</w:t>
      </w:r>
      <w:r>
        <w:rPr>
          <w:rFonts w:ascii="方正仿宋" w:hAnsi="方正仿宋" w:eastAsia="方正仿宋" w:cs="方正仿宋"/>
          <w:sz w:val="32"/>
          <w:szCs w:val="32"/>
        </w:rPr>
        <w:t>70</w:t>
      </w:r>
      <w:r>
        <w:rPr>
          <w:rFonts w:hint="eastAsia" w:ascii="方正仿宋" w:hAnsi="方正仿宋" w:eastAsia="方正仿宋" w:cs="方正仿宋"/>
          <w:sz w:val="32"/>
          <w:szCs w:val="32"/>
        </w:rPr>
        <w:t>%（四舍五入），</w:t>
      </w:r>
      <w:r>
        <w:rPr>
          <w:rFonts w:ascii="方正仿宋" w:hAnsi="方正仿宋" w:eastAsia="方正仿宋" w:cs="方正仿宋"/>
          <w:sz w:val="32"/>
          <w:szCs w:val="32"/>
        </w:rPr>
        <w:t>良好</w:t>
      </w:r>
      <w:r>
        <w:rPr>
          <w:rFonts w:hint="eastAsia" w:ascii="方正仿宋" w:hAnsi="方正仿宋" w:eastAsia="方正仿宋" w:cs="方正仿宋"/>
          <w:sz w:val="32"/>
          <w:szCs w:val="32"/>
        </w:rPr>
        <w:t>；</w:t>
      </w:r>
      <w:bookmarkStart w:id="0" w:name="_GoBack"/>
      <w:bookmarkEnd w:id="0"/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（三）</w:t>
      </w:r>
      <w:r>
        <w:rPr>
          <w:rFonts w:ascii="方正仿宋" w:hAnsi="方正仿宋" w:eastAsia="方正仿宋" w:cs="方正仿宋"/>
          <w:sz w:val="32"/>
          <w:szCs w:val="32"/>
        </w:rPr>
        <w:t>60分</w:t>
      </w:r>
      <w:r>
        <w:rPr>
          <w:rFonts w:hint="eastAsia" w:ascii="方正仿宋" w:hAnsi="方正仿宋" w:eastAsia="方正仿宋" w:cs="方正仿宋"/>
          <w:sz w:val="32"/>
          <w:szCs w:val="32"/>
        </w:rPr>
        <w:t>（含）以上，合格；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（四）6</w:t>
      </w:r>
      <w:r>
        <w:rPr>
          <w:rFonts w:ascii="方正仿宋" w:hAnsi="方正仿宋" w:eastAsia="方正仿宋" w:cs="方正仿宋"/>
          <w:sz w:val="32"/>
          <w:szCs w:val="32"/>
        </w:rPr>
        <w:t>0分以下</w:t>
      </w:r>
      <w:r>
        <w:rPr>
          <w:rFonts w:hint="eastAsia" w:ascii="方正仿宋" w:hAnsi="方正仿宋" w:eastAsia="方正仿宋" w:cs="方正仿宋"/>
          <w:sz w:val="32"/>
          <w:szCs w:val="32"/>
        </w:rPr>
        <w:t>，</w:t>
      </w:r>
      <w:r>
        <w:rPr>
          <w:rFonts w:ascii="方正仿宋" w:hAnsi="方正仿宋" w:eastAsia="方正仿宋" w:cs="方正仿宋"/>
          <w:sz w:val="32"/>
          <w:szCs w:val="32"/>
        </w:rPr>
        <w:t>不合格</w:t>
      </w:r>
      <w:r>
        <w:rPr>
          <w:rFonts w:hint="eastAsia" w:ascii="方正仿宋" w:hAnsi="方正仿宋" w:eastAsia="方正仿宋" w:cs="方正仿宋"/>
          <w:sz w:val="32"/>
          <w:szCs w:val="32"/>
        </w:rPr>
        <w:t>；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（一）（二）得分和排名未同时达标的，评价等次降为下一档；</w:t>
      </w:r>
    </w:p>
    <w:p>
      <w:pPr>
        <w:snapToGrid w:val="0"/>
        <w:spacing w:line="540" w:lineRule="exact"/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年度评价为不合格等次的，应按相关要求进行整改，整改后仍达不到合格要求的，撤销其认定称号。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46CB"/>
    <w:rsid w:val="01557D79"/>
    <w:rsid w:val="0BFC448D"/>
    <w:rsid w:val="5F8574F7"/>
    <w:rsid w:val="71B5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msolistparagraph"/>
    <w:basedOn w:val="1"/>
    <w:qFormat/>
    <w:uiPriority w:val="0"/>
    <w:pPr>
      <w:spacing w:line="240" w:lineRule="atLeast"/>
      <w:ind w:firstLine="420" w:firstLineChars="200"/>
    </w:pPr>
    <w:rPr>
      <w:rFonts w:ascii="Calibri" w:hAnsi="Calibri"/>
      <w:spacing w:val="-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JXJ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2021-08-09T08:15:00Z</dcterms:created>
  <dc:creator>张蕾</dc:creator>
  <cp:lastModifiedBy>张蕾</cp:lastModifiedBy>
  <dcterms:modified xsi:type="dcterms:W3CDTF">2021-08-10T03:54:44Z</dcterms:modified>
  <dc:title>2020年度厦门市中小企业公共服务平台网络运营评价指标（示范基地）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